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29" w:rsidRPr="00614F6A" w:rsidRDefault="00C43B29" w:rsidP="00C4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F6A">
        <w:rPr>
          <w:rFonts w:ascii="Times New Roman" w:hAnsi="Times New Roman" w:cs="Times New Roman"/>
          <w:b/>
          <w:sz w:val="26"/>
          <w:szCs w:val="26"/>
        </w:rPr>
        <w:t xml:space="preserve">Углубленная диспансеризация </w:t>
      </w:r>
      <w:r w:rsidRPr="00614F6A">
        <w:rPr>
          <w:rFonts w:ascii="Times New Roman" w:hAnsi="Times New Roman" w:cs="Times New Roman"/>
          <w:sz w:val="26"/>
          <w:szCs w:val="26"/>
        </w:rPr>
        <w:t xml:space="preserve">направлена на выявление и профилактику осложнений после перенесённой новой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инфекции </w:t>
      </w:r>
      <w:r w:rsidRPr="00614F6A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614F6A">
        <w:rPr>
          <w:rFonts w:ascii="Times New Roman" w:hAnsi="Times New Roman" w:cs="Times New Roman"/>
          <w:sz w:val="26"/>
          <w:szCs w:val="26"/>
        </w:rPr>
        <w:t>-19 и состоит из двух этапов.</w:t>
      </w:r>
    </w:p>
    <w:p w:rsidR="00C43B29" w:rsidRPr="00614F6A" w:rsidRDefault="00C43B29" w:rsidP="00C4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B29" w:rsidRPr="00C43B29" w:rsidRDefault="00C43B29" w:rsidP="00C43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29">
        <w:rPr>
          <w:rFonts w:ascii="Times New Roman" w:hAnsi="Times New Roman" w:cs="Times New Roman"/>
          <w:b/>
          <w:sz w:val="26"/>
          <w:szCs w:val="26"/>
        </w:rPr>
        <w:t>1 этап углубленной диспансеризации включает в себя:</w:t>
      </w:r>
    </w:p>
    <w:p w:rsidR="00C43B29" w:rsidRPr="00614F6A" w:rsidRDefault="00C43B29" w:rsidP="00C4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B29" w:rsidRPr="00614F6A" w:rsidRDefault="00C43B29" w:rsidP="00C43B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14F6A">
        <w:rPr>
          <w:rFonts w:ascii="Times New Roman" w:hAnsi="Times New Roman" w:cs="Times New Roman"/>
          <w:sz w:val="26"/>
          <w:szCs w:val="26"/>
        </w:rPr>
        <w:t xml:space="preserve">1) </w:t>
      </w:r>
      <w:r w:rsidRPr="00614F6A">
        <w:rPr>
          <w:rFonts w:ascii="Times New Roman" w:hAnsi="Times New Roman" w:cs="Times New Roman"/>
          <w:b/>
          <w:sz w:val="26"/>
          <w:szCs w:val="26"/>
        </w:rPr>
        <w:t xml:space="preserve">спирометрию </w:t>
      </w:r>
      <w:r w:rsidRPr="00614F6A">
        <w:rPr>
          <w:rFonts w:ascii="Times New Roman" w:hAnsi="Times New Roman" w:cs="Times New Roman"/>
          <w:sz w:val="26"/>
          <w:szCs w:val="26"/>
        </w:rPr>
        <w:t>(оценка функционального состояния дыхательной системы);</w:t>
      </w:r>
    </w:p>
    <w:p w:rsidR="00C43B29" w:rsidRPr="00614F6A" w:rsidRDefault="00C43B29" w:rsidP="00C43B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14F6A">
        <w:rPr>
          <w:rFonts w:ascii="Times New Roman" w:hAnsi="Times New Roman" w:cs="Times New Roman"/>
          <w:sz w:val="26"/>
          <w:szCs w:val="26"/>
        </w:rPr>
        <w:t xml:space="preserve">2) </w:t>
      </w:r>
      <w:r w:rsidRPr="00614F6A">
        <w:rPr>
          <w:rFonts w:ascii="Times New Roman" w:hAnsi="Times New Roman" w:cs="Times New Roman"/>
          <w:b/>
          <w:sz w:val="26"/>
          <w:szCs w:val="26"/>
        </w:rPr>
        <w:t>биохимический̆ анализ крови</w:t>
      </w:r>
      <w:r w:rsidRPr="00614F6A">
        <w:rPr>
          <w:rFonts w:ascii="Times New Roman" w:hAnsi="Times New Roman" w:cs="Times New Roman"/>
          <w:sz w:val="26"/>
          <w:szCs w:val="26"/>
        </w:rPr>
        <w:t xml:space="preserve"> (исследование уровня холестерина, уровня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липопротеинов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низкои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̆ плотности,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С-реактивного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белка, определение активности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аланинаминотрансферазы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в крови, определение активности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аспартата</w:t>
      </w:r>
      <w:r w:rsidRPr="00614F6A">
        <w:rPr>
          <w:rFonts w:ascii="Times New Roman" w:hAnsi="Times New Roman" w:cs="Times New Roman"/>
          <w:sz w:val="26"/>
          <w:szCs w:val="26"/>
        </w:rPr>
        <w:softHyphen/>
        <w:t>мино</w:t>
      </w:r>
      <w:r w:rsidRPr="00614F6A">
        <w:rPr>
          <w:rFonts w:ascii="Times New Roman" w:hAnsi="Times New Roman" w:cs="Times New Roman"/>
          <w:sz w:val="26"/>
          <w:szCs w:val="26"/>
        </w:rPr>
        <w:softHyphen/>
        <w:t>трансферазы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в крови, определение активности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лактатдегидрогеназы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в крови, исследование уровня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креатинина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в крови); </w:t>
      </w:r>
    </w:p>
    <w:p w:rsidR="00C43B29" w:rsidRPr="00614F6A" w:rsidRDefault="00C43B29" w:rsidP="00C43B29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14F6A">
        <w:rPr>
          <w:rFonts w:ascii="Times New Roman" w:hAnsi="Times New Roman" w:cs="Times New Roman"/>
          <w:sz w:val="26"/>
          <w:szCs w:val="26"/>
        </w:rPr>
        <w:t xml:space="preserve">3) </w:t>
      </w:r>
      <w:r w:rsidRPr="00614F6A">
        <w:rPr>
          <w:rFonts w:ascii="Times New Roman" w:hAnsi="Times New Roman" w:cs="Times New Roman"/>
          <w:b/>
          <w:sz w:val="26"/>
          <w:szCs w:val="26"/>
        </w:rPr>
        <w:t xml:space="preserve">определение концентрации </w:t>
      </w:r>
      <w:proofErr w:type="spellStart"/>
      <w:r w:rsidRPr="00614F6A">
        <w:rPr>
          <w:rFonts w:ascii="Times New Roman" w:hAnsi="Times New Roman" w:cs="Times New Roman"/>
          <w:b/>
          <w:sz w:val="26"/>
          <w:szCs w:val="26"/>
        </w:rPr>
        <w:t>Д-димера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(биохимический маркер свертываемости крови) – для граждан, перенесших новую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инфекцию в средней и тяжелой форме);</w:t>
      </w:r>
      <w:r w:rsidRPr="00614F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3B29" w:rsidRPr="00614F6A" w:rsidRDefault="00C43B29" w:rsidP="00C43B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14F6A">
        <w:rPr>
          <w:rFonts w:ascii="Times New Roman" w:hAnsi="Times New Roman" w:cs="Times New Roman"/>
          <w:sz w:val="26"/>
          <w:szCs w:val="26"/>
        </w:rPr>
        <w:t xml:space="preserve">4) </w:t>
      </w:r>
      <w:r w:rsidRPr="00614F6A">
        <w:rPr>
          <w:rFonts w:ascii="Times New Roman" w:hAnsi="Times New Roman" w:cs="Times New Roman"/>
          <w:b/>
          <w:sz w:val="26"/>
          <w:szCs w:val="26"/>
        </w:rPr>
        <w:t>тест с 6-минутной ходьбой̆</w:t>
      </w:r>
      <w:r w:rsidRPr="00614F6A">
        <w:rPr>
          <w:rFonts w:ascii="Times New Roman" w:hAnsi="Times New Roman" w:cs="Times New Roman"/>
          <w:sz w:val="26"/>
          <w:szCs w:val="26"/>
        </w:rPr>
        <w:t xml:space="preserve"> (выявление возможных проблем в работе сердца и легких) – проводится при сатурации более 95% и наличию жалоб на одышку / отеки);</w:t>
      </w:r>
    </w:p>
    <w:p w:rsidR="00C43B29" w:rsidRPr="00614F6A" w:rsidRDefault="00C43B29" w:rsidP="00C43B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14F6A">
        <w:rPr>
          <w:rFonts w:ascii="Times New Roman" w:hAnsi="Times New Roman" w:cs="Times New Roman"/>
          <w:sz w:val="26"/>
          <w:szCs w:val="26"/>
        </w:rPr>
        <w:t xml:space="preserve">5) </w:t>
      </w:r>
      <w:r w:rsidRPr="00614F6A">
        <w:rPr>
          <w:rFonts w:ascii="Times New Roman" w:hAnsi="Times New Roman" w:cs="Times New Roman"/>
          <w:b/>
          <w:sz w:val="26"/>
          <w:szCs w:val="26"/>
        </w:rPr>
        <w:t>рентгенографию органов грудной̆ клетки</w:t>
      </w:r>
      <w:r w:rsidRPr="00614F6A">
        <w:rPr>
          <w:rFonts w:ascii="Times New Roman" w:hAnsi="Times New Roman" w:cs="Times New Roman"/>
          <w:sz w:val="26"/>
          <w:szCs w:val="26"/>
        </w:rPr>
        <w:t xml:space="preserve"> (если не выполнялась ранее в течение года)</w:t>
      </w:r>
    </w:p>
    <w:p w:rsidR="00C43B29" w:rsidRPr="00614F6A" w:rsidRDefault="00C43B29" w:rsidP="00C4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B29" w:rsidRDefault="00C43B29" w:rsidP="00C43B2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29">
        <w:rPr>
          <w:rFonts w:ascii="Times New Roman" w:hAnsi="Times New Roman" w:cs="Times New Roman"/>
          <w:b/>
          <w:sz w:val="26"/>
          <w:szCs w:val="26"/>
        </w:rPr>
        <w:t>2 этап углубленной диспансеризации включает в себя:</w:t>
      </w:r>
    </w:p>
    <w:p w:rsidR="00C43B29" w:rsidRPr="00C43B29" w:rsidRDefault="00C43B29" w:rsidP="00C43B2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3B29" w:rsidRPr="00614F6A" w:rsidRDefault="00C43B29" w:rsidP="00C43B29">
      <w:pPr>
        <w:pStyle w:val="a4"/>
        <w:numPr>
          <w:ilvl w:val="0"/>
          <w:numId w:val="1"/>
        </w:numPr>
        <w:spacing w:after="160" w:line="25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C43B29">
        <w:rPr>
          <w:rFonts w:ascii="Times New Roman" w:hAnsi="Times New Roman" w:cs="Times New Roman"/>
          <w:b/>
          <w:sz w:val="26"/>
          <w:szCs w:val="26"/>
        </w:rPr>
        <w:t>Эхокардиографию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(в случае показателя </w:t>
      </w:r>
      <w:r w:rsidRPr="00614F6A">
        <w:rPr>
          <w:rFonts w:ascii="Times New Roman" w:hAnsi="Times New Roman" w:cs="Times New Roman"/>
          <w:bCs/>
          <w:sz w:val="26"/>
          <w:szCs w:val="26"/>
        </w:rPr>
        <w:t>сатурации в покое 94% и ниже</w:t>
      </w:r>
      <w:r w:rsidRPr="00614F6A">
        <w:rPr>
          <w:rFonts w:ascii="Times New Roman" w:hAnsi="Times New Roman" w:cs="Times New Roman"/>
          <w:sz w:val="26"/>
          <w:szCs w:val="26"/>
        </w:rPr>
        <w:t>, а также по результатам проведения теста с 6 минутной ходьбой);</w:t>
      </w:r>
    </w:p>
    <w:p w:rsidR="00C43B29" w:rsidRPr="00614F6A" w:rsidRDefault="00C43B29" w:rsidP="00C43B29">
      <w:pPr>
        <w:pStyle w:val="a4"/>
        <w:numPr>
          <w:ilvl w:val="0"/>
          <w:numId w:val="1"/>
        </w:numPr>
        <w:spacing w:after="160" w:line="25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43B29">
        <w:rPr>
          <w:rFonts w:ascii="Times New Roman" w:hAnsi="Times New Roman" w:cs="Times New Roman"/>
          <w:b/>
          <w:sz w:val="26"/>
          <w:szCs w:val="26"/>
        </w:rPr>
        <w:t>Компьютерную томографию легких</w:t>
      </w:r>
      <w:r w:rsidRPr="00614F6A">
        <w:rPr>
          <w:rFonts w:ascii="Times New Roman" w:hAnsi="Times New Roman" w:cs="Times New Roman"/>
          <w:sz w:val="26"/>
          <w:szCs w:val="26"/>
        </w:rPr>
        <w:t xml:space="preserve"> (в случае показателя </w:t>
      </w:r>
      <w:r w:rsidRPr="00614F6A">
        <w:rPr>
          <w:rFonts w:ascii="Times New Roman" w:hAnsi="Times New Roman" w:cs="Times New Roman"/>
          <w:bCs/>
          <w:sz w:val="26"/>
          <w:szCs w:val="26"/>
        </w:rPr>
        <w:t>сатурации в покое 94% и ниже</w:t>
      </w:r>
      <w:r w:rsidRPr="00614F6A">
        <w:rPr>
          <w:rFonts w:ascii="Times New Roman" w:hAnsi="Times New Roman" w:cs="Times New Roman"/>
          <w:sz w:val="26"/>
          <w:szCs w:val="26"/>
        </w:rPr>
        <w:t>, а также по результатам проведения теста с 6 минутной ходьбой);</w:t>
      </w:r>
    </w:p>
    <w:p w:rsidR="00C43B29" w:rsidRDefault="00C43B29" w:rsidP="00C43B29">
      <w:pPr>
        <w:pStyle w:val="a4"/>
        <w:numPr>
          <w:ilvl w:val="0"/>
          <w:numId w:val="1"/>
        </w:numPr>
        <w:spacing w:after="160" w:line="25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43B29">
        <w:rPr>
          <w:rFonts w:ascii="Times New Roman" w:hAnsi="Times New Roman" w:cs="Times New Roman"/>
          <w:b/>
          <w:sz w:val="26"/>
          <w:szCs w:val="26"/>
        </w:rPr>
        <w:t>Дуплексное сканирование вен нижних конечностей</w:t>
      </w:r>
      <w:r w:rsidRPr="00614F6A">
        <w:rPr>
          <w:rFonts w:ascii="Times New Roman" w:hAnsi="Times New Roman" w:cs="Times New Roman"/>
          <w:sz w:val="26"/>
          <w:szCs w:val="26"/>
        </w:rPr>
        <w:t xml:space="preserve"> (при наличии показаний по результатам определения концентрации </w:t>
      </w:r>
      <w:proofErr w:type="spellStart"/>
      <w:r w:rsidRPr="00614F6A">
        <w:rPr>
          <w:rFonts w:ascii="Times New Roman" w:hAnsi="Times New Roman" w:cs="Times New Roman"/>
          <w:sz w:val="26"/>
          <w:szCs w:val="26"/>
        </w:rPr>
        <w:t>Д-димера</w:t>
      </w:r>
      <w:proofErr w:type="spellEnd"/>
      <w:r w:rsidRPr="00614F6A">
        <w:rPr>
          <w:rFonts w:ascii="Times New Roman" w:hAnsi="Times New Roman" w:cs="Times New Roman"/>
          <w:sz w:val="26"/>
          <w:szCs w:val="26"/>
        </w:rPr>
        <w:t xml:space="preserve"> в крови).</w:t>
      </w:r>
    </w:p>
    <w:p w:rsidR="00C43B29" w:rsidRPr="00614F6A" w:rsidRDefault="00C43B29" w:rsidP="00C43B29">
      <w:pPr>
        <w:pStyle w:val="a4"/>
        <w:spacing w:after="160" w:line="256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C43B29" w:rsidRDefault="00C43B29" w:rsidP="00C43B2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F6A">
        <w:rPr>
          <w:rFonts w:ascii="Times New Roman" w:hAnsi="Times New Roman" w:cs="Times New Roman"/>
          <w:b/>
          <w:sz w:val="26"/>
          <w:szCs w:val="26"/>
        </w:rPr>
        <w:t>Кто может пройти углубленную диспансеризацию?</w:t>
      </w:r>
    </w:p>
    <w:p w:rsidR="00C43B29" w:rsidRPr="00614F6A" w:rsidRDefault="00C43B29" w:rsidP="00C43B2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3B29" w:rsidRDefault="00C43B29" w:rsidP="00C43B29">
      <w:pPr>
        <w:pStyle w:val="a4"/>
        <w:numPr>
          <w:ilvl w:val="0"/>
          <w:numId w:val="2"/>
        </w:numPr>
        <w:spacing w:after="160" w:line="256" w:lineRule="auto"/>
        <w:ind w:left="0"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C43B29">
        <w:rPr>
          <w:rFonts w:ascii="Times New Roman" w:hAnsi="Times New Roman" w:cs="Times New Roman"/>
          <w:b/>
          <w:bCs/>
          <w:sz w:val="26"/>
          <w:szCs w:val="26"/>
        </w:rPr>
        <w:t xml:space="preserve">Лица, перенесшие </w:t>
      </w:r>
      <w:proofErr w:type="spellStart"/>
      <w:r w:rsidRPr="00C43B29">
        <w:rPr>
          <w:rFonts w:ascii="Times New Roman" w:hAnsi="Times New Roman" w:cs="Times New Roman"/>
          <w:b/>
          <w:bCs/>
          <w:sz w:val="26"/>
          <w:szCs w:val="26"/>
          <w:lang w:val="en-US"/>
        </w:rPr>
        <w:t>Covid</w:t>
      </w:r>
      <w:proofErr w:type="spellEnd"/>
      <w:r w:rsidRPr="00C43B29">
        <w:rPr>
          <w:rFonts w:ascii="Times New Roman" w:hAnsi="Times New Roman" w:cs="Times New Roman"/>
          <w:b/>
          <w:bCs/>
          <w:sz w:val="26"/>
          <w:szCs w:val="26"/>
        </w:rPr>
        <w:t>-19, при наличии 2 и более хронических неинфекционных заболеваний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(наличие сочетан</w:t>
      </w:r>
      <w:r w:rsidRPr="00C43B29">
        <w:rPr>
          <w:rFonts w:ascii="Times New Roman" w:hAnsi="Times New Roman" w:cs="Times New Roman"/>
          <w:b/>
          <w:bCs/>
          <w:sz w:val="26"/>
          <w:szCs w:val="26"/>
        </w:rPr>
        <w:t>ия заболеваний из группы 1 и из группы 2):</w:t>
      </w:r>
    </w:p>
    <w:p w:rsidR="00C43B29" w:rsidRPr="00C43B29" w:rsidRDefault="00C43B29" w:rsidP="00C43B29">
      <w:pPr>
        <w:pStyle w:val="a4"/>
        <w:spacing w:after="160" w:line="25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735"/>
        <w:gridCol w:w="4728"/>
      </w:tblGrid>
      <w:tr w:rsidR="00C43B29" w:rsidRPr="00C43B29" w:rsidTr="00363199">
        <w:tc>
          <w:tcPr>
            <w:tcW w:w="4820" w:type="dxa"/>
            <w:vAlign w:val="center"/>
          </w:tcPr>
          <w:p w:rsidR="00C43B29" w:rsidRPr="00C43B29" w:rsidRDefault="00C43B29" w:rsidP="003631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1</w:t>
            </w:r>
          </w:p>
        </w:tc>
        <w:tc>
          <w:tcPr>
            <w:tcW w:w="4819" w:type="dxa"/>
            <w:vAlign w:val="center"/>
          </w:tcPr>
          <w:p w:rsidR="00C43B29" w:rsidRPr="00C43B29" w:rsidRDefault="00C43B29" w:rsidP="003631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2</w:t>
            </w:r>
          </w:p>
        </w:tc>
      </w:tr>
      <w:tr w:rsidR="00C43B29" w:rsidRPr="00C43B29" w:rsidTr="00363199">
        <w:tc>
          <w:tcPr>
            <w:tcW w:w="4820" w:type="dxa"/>
          </w:tcPr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Первичная гипертензия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Гипертензивная болезнь сердца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Гипертоническая болезнь с преимущественным поражением почек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Гипертоническая болезнь с </w:t>
            </w: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преимущественным поражением сердца и почек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Вторичная гипертензия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Острый инфаркт миокарда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Другие формы стенокардии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Стенокардия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неуточненная</w:t>
            </w:r>
            <w:proofErr w:type="spellEnd"/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Хроническая ишемическая болезнь сердца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Атеросклеротическая болезнь сердца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Перенесенный в прошлом инфаркт миокарда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Ишемическая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кардиомиопатия</w:t>
            </w:r>
            <w:proofErr w:type="spellEnd"/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Бессимптомная ишемия миокарда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Другие формы хронической ишемической болезни сердца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Хроническая ишемическая болезнь сердца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неуточненная</w:t>
            </w:r>
            <w:proofErr w:type="spellEnd"/>
          </w:p>
        </w:tc>
        <w:tc>
          <w:tcPr>
            <w:tcW w:w="4819" w:type="dxa"/>
          </w:tcPr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Пароксизмальная фибрилляция предсердий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Хроническая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обструктивная</w:t>
            </w:r>
            <w:proofErr w:type="spellEnd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легочная болезнь с острой респираторной инфекцией нижних дыхательных путей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Другая уточненная хроническая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обструктивная</w:t>
            </w:r>
            <w:proofErr w:type="spellEnd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легочная болезнь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Хроническая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обструктивная</w:t>
            </w:r>
            <w:proofErr w:type="spellEnd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легочная болезнь </w:t>
            </w:r>
            <w:proofErr w:type="spellStart"/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неуточненная</w:t>
            </w:r>
            <w:proofErr w:type="spellEnd"/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Сахарный диабет II типа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Последствия субарахноидального кровоизлияния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Последствия внутричерепного кровоизлияния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Последствия другого нетравматического внутричерепного кровоизлияния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Последствия инфаркта мозга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Последствия инсульта, не уточненные как кровоизлияние или инфаркт мозга</w:t>
            </w:r>
          </w:p>
          <w:p w:rsidR="00C43B29" w:rsidRPr="00C43B29" w:rsidRDefault="00C43B29" w:rsidP="00363199">
            <w:pPr>
              <w:pStyle w:val="a4"/>
              <w:spacing w:after="160" w:line="25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B29">
              <w:rPr>
                <w:rFonts w:ascii="Times New Roman" w:hAnsi="Times New Roman" w:cs="Times New Roman"/>
                <w:bCs/>
                <w:sz w:val="28"/>
                <w:szCs w:val="28"/>
              </w:rPr>
              <w:t>- Другие уточненные поражения сосудов мозга</w:t>
            </w:r>
          </w:p>
        </w:tc>
      </w:tr>
    </w:tbl>
    <w:p w:rsidR="00C43B29" w:rsidRPr="00614F6A" w:rsidRDefault="00C43B29" w:rsidP="00C43B29">
      <w:pPr>
        <w:pStyle w:val="a4"/>
        <w:spacing w:after="160" w:line="256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3B29" w:rsidRPr="00C43B29" w:rsidRDefault="00C43B29" w:rsidP="00C43B29">
      <w:pPr>
        <w:pStyle w:val="a4"/>
        <w:numPr>
          <w:ilvl w:val="0"/>
          <w:numId w:val="2"/>
        </w:numPr>
        <w:spacing w:after="160" w:line="25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B29">
        <w:rPr>
          <w:rFonts w:ascii="Times New Roman" w:hAnsi="Times New Roman" w:cs="Times New Roman"/>
          <w:b/>
          <w:bCs/>
          <w:sz w:val="26"/>
          <w:szCs w:val="26"/>
        </w:rPr>
        <w:t xml:space="preserve">Граждане, перенесшие новую </w:t>
      </w:r>
      <w:proofErr w:type="spellStart"/>
      <w:r w:rsidRPr="00C43B29">
        <w:rPr>
          <w:rFonts w:ascii="Times New Roman" w:hAnsi="Times New Roman" w:cs="Times New Roman"/>
          <w:b/>
          <w:bCs/>
          <w:sz w:val="26"/>
          <w:szCs w:val="26"/>
        </w:rPr>
        <w:t>коронавирусную</w:t>
      </w:r>
      <w:proofErr w:type="spellEnd"/>
      <w:r w:rsidRPr="00C43B29">
        <w:rPr>
          <w:rFonts w:ascii="Times New Roman" w:hAnsi="Times New Roman" w:cs="Times New Roman"/>
          <w:b/>
          <w:bCs/>
          <w:sz w:val="26"/>
          <w:szCs w:val="26"/>
        </w:rPr>
        <w:t xml:space="preserve"> инфекцию COVID-19, не относящиеся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 w:rsidRPr="00C43B29">
        <w:rPr>
          <w:rFonts w:ascii="Times New Roman" w:hAnsi="Times New Roman" w:cs="Times New Roman"/>
          <w:b/>
          <w:bCs/>
          <w:sz w:val="26"/>
          <w:szCs w:val="26"/>
        </w:rPr>
        <w:t>лицам, указанным</w:t>
      </w:r>
      <w:bookmarkStart w:id="0" w:name="_GoBack"/>
      <w:bookmarkEnd w:id="0"/>
      <w:r w:rsidRPr="00C43B29">
        <w:rPr>
          <w:rFonts w:ascii="Times New Roman" w:hAnsi="Times New Roman" w:cs="Times New Roman"/>
          <w:b/>
          <w:bCs/>
          <w:sz w:val="26"/>
          <w:szCs w:val="26"/>
        </w:rPr>
        <w:t xml:space="preserve"> в пункте 1</w:t>
      </w:r>
    </w:p>
    <w:p w:rsidR="00C43B29" w:rsidRPr="00614F6A" w:rsidRDefault="00C43B29" w:rsidP="00C43B2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43B29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углубленная диспансеризация также может быть проведена </w:t>
      </w:r>
      <w:r w:rsidRPr="00C43B29">
        <w:rPr>
          <w:rFonts w:ascii="Times New Roman" w:hAnsi="Times New Roman" w:cs="Times New Roman"/>
          <w:bCs/>
          <w:sz w:val="26"/>
          <w:szCs w:val="26"/>
        </w:rPr>
        <w:t>по инициативе гражданина</w:t>
      </w:r>
      <w:r w:rsidRPr="00C43B29">
        <w:rPr>
          <w:rFonts w:ascii="Times New Roman" w:hAnsi="Times New Roman" w:cs="Times New Roman"/>
          <w:sz w:val="26"/>
          <w:szCs w:val="26"/>
        </w:rPr>
        <w:t xml:space="preserve">, в отношении которого отсутствуют сведения о перенесенном заболевании новой </w:t>
      </w:r>
      <w:proofErr w:type="spellStart"/>
      <w:r w:rsidRPr="00C43B29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43B29">
        <w:rPr>
          <w:rFonts w:ascii="Times New Roman" w:hAnsi="Times New Roman" w:cs="Times New Roman"/>
          <w:sz w:val="26"/>
          <w:szCs w:val="26"/>
        </w:rPr>
        <w:t xml:space="preserve"> инфекции, при подаче </w:t>
      </w:r>
      <w:r w:rsidRPr="00C43B29">
        <w:rPr>
          <w:rFonts w:ascii="Times New Roman" w:hAnsi="Times New Roman" w:cs="Times New Roman"/>
          <w:bCs/>
          <w:sz w:val="26"/>
          <w:szCs w:val="26"/>
        </w:rPr>
        <w:t>заявления</w:t>
      </w:r>
      <w:r w:rsidRPr="00C43B29">
        <w:rPr>
          <w:rFonts w:ascii="Times New Roman" w:hAnsi="Times New Roman" w:cs="Times New Roman"/>
          <w:sz w:val="26"/>
          <w:szCs w:val="26"/>
        </w:rPr>
        <w:t xml:space="preserve"> на имя руководителя медицинской организации, выбранной гражданином в рамках программы государственных гарантий бесплатного оказания гражданам медицинской помощи</w:t>
      </w:r>
      <w:r w:rsidRPr="00614F6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14F6A">
        <w:rPr>
          <w:rFonts w:ascii="Times New Roman" w:hAnsi="Times New Roman" w:cs="Times New Roman"/>
          <w:i/>
          <w:iCs/>
          <w:sz w:val="26"/>
          <w:szCs w:val="26"/>
        </w:rPr>
        <w:t>(данная категория граждан не является приоритетной)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2662A0" w:rsidRDefault="002662A0"/>
    <w:sectPr w:rsidR="002662A0" w:rsidSect="0026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915"/>
    <w:multiLevelType w:val="hybridMultilevel"/>
    <w:tmpl w:val="FCB8E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057F"/>
    <w:multiLevelType w:val="hybridMultilevel"/>
    <w:tmpl w:val="06A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C43B29"/>
    <w:rsid w:val="002662A0"/>
    <w:rsid w:val="00520140"/>
    <w:rsid w:val="00C43B29"/>
    <w:rsid w:val="00F6077F"/>
    <w:rsid w:val="00F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2942</Characters>
  <Application>Microsoft Office Word</Application>
  <DocSecurity>0</DocSecurity>
  <Lines>24</Lines>
  <Paragraphs>6</Paragraphs>
  <ScaleCrop>false</ScaleCrop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PONOMARENKO_IA</dc:creator>
  <cp:keywords/>
  <dc:description/>
  <cp:lastModifiedBy>DIBRIVNAYA</cp:lastModifiedBy>
  <cp:revision>3</cp:revision>
  <dcterms:created xsi:type="dcterms:W3CDTF">2021-08-16T10:35:00Z</dcterms:created>
  <dcterms:modified xsi:type="dcterms:W3CDTF">2021-08-16T11:37:00Z</dcterms:modified>
</cp:coreProperties>
</file>